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6.0 -->
  <w:body>
    <w:p w:rsidR="28218AB5" w:rsidP="007FBED4" w:rsidRDefault="28218AB5" w14:paraId="14F51372" w14:textId="168B6907">
      <w:pPr>
        <w:pStyle w:val="Heading1"/>
        <w:bidi w:val="0"/>
        <w:rPr>
          <w:noProof w:val="0"/>
          <w:lang w:val="de-DE"/>
        </w:rPr>
      </w:pPr>
      <w:r w:rsidRPr="007FBED4" w:rsidR="28218AB5">
        <w:rPr>
          <w:noProof w:val="0"/>
          <w:lang w:val="de-DE"/>
        </w:rPr>
        <w:t xml:space="preserve">Wide World </w:t>
      </w:r>
      <w:r w:rsidRPr="007FBED4" w:rsidR="28218AB5">
        <w:rPr>
          <w:noProof w:val="0"/>
          <w:lang w:val="de-DE"/>
        </w:rPr>
        <w:t>Importers</w:t>
      </w:r>
      <w:r w:rsidRPr="007FBED4" w:rsidR="28218AB5">
        <w:rPr>
          <w:noProof w:val="0"/>
          <w:lang w:val="de-DE"/>
        </w:rPr>
        <w:t xml:space="preserve"> supplier </w:t>
      </w:r>
      <w:r w:rsidRPr="007FBED4" w:rsidR="28218AB5">
        <w:rPr>
          <w:noProof w:val="0"/>
          <w:lang w:val="de-DE"/>
        </w:rPr>
        <w:t>agreement</w:t>
      </w:r>
    </w:p>
    <w:p w:rsidR="047F0941" w:rsidP="047F0941" w14:paraId="71412EC6" w14:textId="2B852107"/>
    <w:p w:rsidR="28218AB5" w:rsidRDefault="28218AB5" w14:paraId="3F6604BF" w14:textId="1AD76EA4"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>Northwind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 xml:space="preserve"> Traders 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>is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>the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>preferred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 xml:space="preserve"> supplier 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>of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>beer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 xml:space="preserve"> and 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>cider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>to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 xml:space="preserve"> Wide World 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>Importers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 xml:space="preserve">. The 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>terms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>of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>the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 xml:space="preserve"> supplier 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>agreement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 xml:space="preserve">, 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>which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 xml:space="preserve"> was 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>negotiated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>with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 xml:space="preserve"> Wide World 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>Importers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 xml:space="preserve"> on 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>February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 xml:space="preserve"> 1, 2023, 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>include</w:t>
      </w:r>
      <w:r w:rsidRPr="007FBED4" w:rsidR="28218AB5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de-DE" w:eastAsia="ja-JP" w:bidi="ar-SA"/>
        </w:rPr>
        <w:t>:</w:t>
      </w:r>
    </w:p>
    <w:tbl>
      <w:tblPr>
        <w:tblStyle w:val="TableGrid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4675"/>
        <w:gridCol w:w="4675"/>
      </w:tblGrid>
      <w:tr w:rsidTr="3EEAAE92" w14:paraId="26DA1DE6" w14:textId="77777777">
        <w:tblPrEx>
          <w:tblW w:w="0" w:type="auto"/>
          <w:tblInd w:w="0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</w:tcPr>
          <w:p w:rsidR="666A24C0" w:rsidP="666A24C0" w:rsidRDefault="666A24C0" w14:paraId="3543E47A" w14:textId="516DB998">
            <w:pPr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66A24C0" w:rsidR="666A24C0">
              <w:rPr>
                <w:rStyle w:val="DefaultParagraphFont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Terms of payments</w:t>
            </w:r>
          </w:p>
        </w:tc>
        <w:tc>
          <w:tcPr>
            <w:tcW w:w="467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</w:tcPr>
          <w:p w:rsidR="42151F9C" w:rsidP="666A24C0" w:rsidRDefault="42151F9C" w14:paraId="14BB3308" w14:textId="6CDE6D28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666A24C0" w:rsidR="42151F9C">
              <w:rPr>
                <w:rStyle w:val="DefaultParagraphFont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10 days 2%, 45 days net</w:t>
            </w:r>
          </w:p>
        </w:tc>
      </w:tr>
      <w:tr w:rsidTr="3EEAAE92" w14:paraId="6D182FBB" w14:textId="77777777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Mar/>
          </w:tcPr>
          <w:p w:rsidR="666A24C0" w:rsidP="666A24C0" w:rsidRDefault="666A24C0" w14:paraId="75C33CBC" w14:textId="6A81B29C">
            <w:pPr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66A24C0" w:rsidR="666A24C0">
              <w:rPr>
                <w:rStyle w:val="DefaultParagraphFont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Late payment fee</w:t>
            </w:r>
          </w:p>
        </w:tc>
        <w:tc>
          <w:tcPr>
            <w:tcW w:w="4675" w:type="dxa"/>
            <w:tcMar/>
          </w:tcPr>
          <w:p w:rsidR="776F411F" w:rsidP="666A24C0" w:rsidRDefault="776F411F" w14:paraId="65331705" w14:textId="25FBBE3D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3EEAAE92" w:rsidR="776F411F">
              <w:rPr>
                <w:rStyle w:val="DefaultParagraphFont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2% per mo</w:t>
            </w:r>
            <w:r w:rsidRPr="3EEAAE92" w:rsidR="776F411F">
              <w:rPr>
                <w:rStyle w:val="DefaultParagraphFont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nth</w:t>
            </w:r>
          </w:p>
        </w:tc>
      </w:tr>
      <w:tr w:rsidTr="3EEAAE92" w14:paraId="7CDC4031" w14:textId="77777777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Mar/>
          </w:tcPr>
          <w:p w:rsidR="666A24C0" w:rsidP="666A24C0" w:rsidRDefault="666A24C0" w14:paraId="7787D726" w14:textId="1309087F">
            <w:pPr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66A24C0" w:rsidR="666A24C0">
              <w:rPr>
                <w:rStyle w:val="DefaultParagraphFont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Expiration date</w:t>
            </w:r>
          </w:p>
        </w:tc>
        <w:tc>
          <w:tcPr>
            <w:tcW w:w="4675" w:type="dxa"/>
            <w:tcMar/>
          </w:tcPr>
          <w:p w:rsidR="666A24C0" w:rsidP="3EEAAE92" w:rsidRDefault="666A24C0" w14:paraId="05C39546" w14:textId="313BECE6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3EEAAE92" w:rsidR="1B4E0F6C">
              <w:rPr>
                <w:rStyle w:val="DefaultParagraphFont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February 1</w:t>
            </w:r>
            <w:r w:rsidRPr="3EEAAE92" w:rsidR="1B4E0F6C">
              <w:rPr>
                <w:rStyle w:val="DefaultParagraphFont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perscript"/>
                <w:lang w:val="en-GB"/>
              </w:rPr>
              <w:t>st</w:t>
            </w:r>
            <w:r w:rsidRPr="3EEAAE92" w:rsidR="1B4E0F6C">
              <w:rPr>
                <w:rStyle w:val="DefaultParagraphFont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, 2025 (2 years from the date of singing)</w:t>
            </w:r>
          </w:p>
        </w:tc>
      </w:tr>
      <w:tr w:rsidTr="3EEAAE92" w14:paraId="6A040A56" w14:textId="77777777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Mar/>
          </w:tcPr>
          <w:p w:rsidR="666A24C0" w:rsidP="666A24C0" w:rsidRDefault="666A24C0" w14:paraId="61144ABD" w14:textId="68920292">
            <w:pPr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66A24C0" w:rsidR="666A24C0">
              <w:rPr>
                <w:rStyle w:val="DefaultParagraphFont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Renewal conditions</w:t>
            </w:r>
          </w:p>
        </w:tc>
        <w:tc>
          <w:tcPr>
            <w:tcW w:w="4675" w:type="dxa"/>
            <w:tcMar/>
          </w:tcPr>
          <w:p w:rsidR="666A24C0" w:rsidP="3EEAAE92" w:rsidRDefault="666A24C0" w14:paraId="4A5602B6" w14:textId="2046B508">
            <w:pPr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EEAAE92" w:rsidR="0BF586A2">
              <w:rPr>
                <w:rStyle w:val="normaltextrun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The agreement is not automatically renewed and must be renegotiated and signed by both parties prior to the expiration date.</w:t>
            </w:r>
          </w:p>
        </w:tc>
      </w:tr>
      <w:tr w:rsidTr="3EEAAE92" w14:paraId="0598682E" w14:textId="77777777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Mar/>
          </w:tcPr>
          <w:p w:rsidR="666A24C0" w:rsidP="666A24C0" w:rsidRDefault="666A24C0" w14:paraId="77293442" w14:textId="6726E493">
            <w:pPr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66A24C0" w:rsidR="666A24C0">
              <w:rPr>
                <w:rStyle w:val="DefaultParagraphFont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Minimum order value</w:t>
            </w:r>
          </w:p>
        </w:tc>
        <w:tc>
          <w:tcPr>
            <w:tcW w:w="4675" w:type="dxa"/>
            <w:tcMar/>
          </w:tcPr>
          <w:p w:rsidR="666A24C0" w:rsidP="3EEAAE92" w:rsidRDefault="666A24C0" w14:paraId="3453CF01" w14:textId="5B05100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3EEAAE92" w:rsidR="3F6BF4DF">
              <w:rPr>
                <w:rStyle w:val="normaltextrun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50 crates per month</w:t>
            </w:r>
          </w:p>
        </w:tc>
      </w:tr>
      <w:tr w:rsidTr="3EEAAE92" w14:paraId="1D98E892" w14:textId="77777777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Mar/>
          </w:tcPr>
          <w:p w:rsidR="666A24C0" w:rsidP="666A24C0" w:rsidRDefault="666A24C0" w14:paraId="30111576" w14:textId="02A714F9">
            <w:pPr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66A24C0" w:rsidR="666A24C0">
              <w:rPr>
                <w:rStyle w:val="DefaultParagraphFont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Maximum order value</w:t>
            </w:r>
          </w:p>
        </w:tc>
        <w:tc>
          <w:tcPr>
            <w:tcW w:w="4675" w:type="dxa"/>
            <w:tcMar/>
          </w:tcPr>
          <w:p w:rsidR="666A24C0" w:rsidP="3EEAAE92" w:rsidRDefault="666A24C0" w14:paraId="7A0DF8EC" w14:textId="5B0B8C7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3EEAAE92" w:rsidR="75354C89">
              <w:rPr>
                <w:rStyle w:val="normaltextrun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No maximum</w:t>
            </w:r>
          </w:p>
        </w:tc>
      </w:tr>
      <w:tr w:rsidTr="3EEAAE92" w14:paraId="167D83E7" w14:textId="77777777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Mar/>
          </w:tcPr>
          <w:p w:rsidR="666A24C0" w:rsidP="666A24C0" w:rsidRDefault="666A24C0" w14:paraId="1A6CCA3D" w14:textId="404B6CE3">
            <w:pPr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66A24C0" w:rsidR="666A24C0">
              <w:rPr>
                <w:rStyle w:val="DefaultParagraphFont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Price conditions</w:t>
            </w:r>
          </w:p>
        </w:tc>
        <w:tc>
          <w:tcPr>
            <w:tcW w:w="4675" w:type="dxa"/>
            <w:tcMar/>
          </w:tcPr>
          <w:p w:rsidR="666A24C0" w:rsidP="3EEAAE92" w:rsidRDefault="666A24C0" w14:paraId="489CD1B4" w14:textId="49F27DA4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3EEAAE92" w:rsidR="2CB08CD7">
              <w:rPr>
                <w:rStyle w:val="normaltextrun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The price per crate is set at 25 USD</w:t>
            </w:r>
          </w:p>
        </w:tc>
      </w:tr>
      <w:tr w:rsidR="666A24C0" w:rsidTr="3EEAAE92" w14:paraId="700DFE63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00"/>
        </w:trPr>
        <w:tc>
          <w:tcPr>
            <w:tcW w:w="4675" w:type="dxa"/>
            <w:tcMar/>
          </w:tcPr>
          <w:p w:rsidR="666A24C0" w:rsidP="666A24C0" w:rsidRDefault="666A24C0" w14:paraId="70B1E30B" w14:textId="6DA179B2">
            <w:pPr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66A24C0" w:rsidR="666A24C0">
              <w:rPr>
                <w:rStyle w:val="DefaultParagraphFont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Price adjustments</w:t>
            </w:r>
          </w:p>
        </w:tc>
        <w:tc>
          <w:tcPr>
            <w:tcW w:w="4675" w:type="dxa"/>
            <w:tcMar/>
          </w:tcPr>
          <w:p w:rsidR="666A24C0" w:rsidP="3EEAAE92" w:rsidRDefault="666A24C0" w14:paraId="7E219944" w14:textId="66250789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3EEAAE92" w:rsidR="1A4DD266">
              <w:rPr>
                <w:rStyle w:val="normaltextrun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Price adjustments are not permitted.</w:t>
            </w:r>
          </w:p>
        </w:tc>
      </w:tr>
    </w:tbl>
    <w:p w:rsidR="00E0376F" w:rsidP="047F0941" w14:paraId="2245A2ED" w14:textId="77777777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63EF8BB"/>
    <w:rsid w:val="001A5FE0"/>
    <w:rsid w:val="001C5245"/>
    <w:rsid w:val="002B31EB"/>
    <w:rsid w:val="002C053F"/>
    <w:rsid w:val="00463EC1"/>
    <w:rsid w:val="004B4983"/>
    <w:rsid w:val="004F3C19"/>
    <w:rsid w:val="00562034"/>
    <w:rsid w:val="005B4153"/>
    <w:rsid w:val="005E3B0A"/>
    <w:rsid w:val="0064532E"/>
    <w:rsid w:val="0066163A"/>
    <w:rsid w:val="00666D0F"/>
    <w:rsid w:val="007FBED4"/>
    <w:rsid w:val="00820388"/>
    <w:rsid w:val="00892DC7"/>
    <w:rsid w:val="008A4CA9"/>
    <w:rsid w:val="00945B4B"/>
    <w:rsid w:val="00B926A4"/>
    <w:rsid w:val="00D36F36"/>
    <w:rsid w:val="00E0376F"/>
    <w:rsid w:val="00E716EF"/>
    <w:rsid w:val="00E85F19"/>
    <w:rsid w:val="047F0941"/>
    <w:rsid w:val="0BF586A2"/>
    <w:rsid w:val="0F3ED51C"/>
    <w:rsid w:val="163EF8BB"/>
    <w:rsid w:val="1A4DD266"/>
    <w:rsid w:val="1B4E0F6C"/>
    <w:rsid w:val="28218AB5"/>
    <w:rsid w:val="2CB08CD7"/>
    <w:rsid w:val="32995EBA"/>
    <w:rsid w:val="34D5EA71"/>
    <w:rsid w:val="354F5D8C"/>
    <w:rsid w:val="3E0F77A9"/>
    <w:rsid w:val="3EEAAE92"/>
    <w:rsid w:val="3F6BF4DF"/>
    <w:rsid w:val="4182EEBA"/>
    <w:rsid w:val="41A91DBA"/>
    <w:rsid w:val="42151F9C"/>
    <w:rsid w:val="549693B2"/>
    <w:rsid w:val="666A24C0"/>
    <w:rsid w:val="6BA9E5C3"/>
    <w:rsid w:val="71A87078"/>
    <w:rsid w:val="73FF189B"/>
    <w:rsid w:val="75354C89"/>
    <w:rsid w:val="776F411F"/>
    <w:rsid w:val="7CC7FE12"/>
  </w:rsids>
  <m:mathPr>
    <m:mathFont m:val="Cambria Math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63EF8BB"/>
  <w15:chartTrackingRefBased/>
  <w15:docId w15:val="{C697E16D-0F53-4427-9E53-6D261162D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0376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ormaltextrun" w:customStyle="1">
    <w:name w:val="normaltextrun"/>
    <w:basedOn w:val="DefaultParagraphFont"/>
    <w:rsid w:val="00D36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fontTable" Target="fontTable.xml" Id="rId3" /><Relationship Type="http://schemas.openxmlformats.org/officeDocument/2006/relationships/customXml" Target="../customXml/item2.xml" Id="rId7" /><Relationship Type="http://schemas.openxmlformats.org/officeDocument/2006/relationships/webSettings" Target="webSettings.xml" Id="rId2" /><Relationship Type="http://schemas.openxmlformats.org/officeDocument/2006/relationships/settings" Target="settings.xml" Id="rId1" /><Relationship Type="http://schemas.openxmlformats.org/officeDocument/2006/relationships/customXml" Target="../customXml/item1.xml" Id="rId6" /><Relationship Type="http://schemas.openxmlformats.org/officeDocument/2006/relationships/styles" Target="styles.xml" Id="rId5" /><Relationship Type="http://schemas.openxmlformats.org/officeDocument/2006/relationships/theme" Target="theme/theme1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_ip_UnifiedCompliancePolicyProperties xmlns="http://schemas.microsoft.com/sharepoint/v3" xsi:nil="true"/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01BD194B-A672-4B36-8039-CF6E4B61E77D}"/>
</file>

<file path=customXml/itemProps2.xml><?xml version="1.0" encoding="utf-8"?>
<ds:datastoreItem xmlns:ds="http://schemas.openxmlformats.org/officeDocument/2006/customXml" ds:itemID="{901F094B-2BE7-43CD-829E-A0CCC99D2F3E}"/>
</file>

<file path=customXml/itemProps3.xml><?xml version="1.0" encoding="utf-8"?>
<ds:datastoreItem xmlns:ds="http://schemas.openxmlformats.org/officeDocument/2006/customXml" ds:itemID="{7027C816-0AE5-4A20-B72A-1046B1336B23}"/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German</dc:creator>
  <cp:lastModifiedBy>Benni Birkelbach (VML Germany GmbH)</cp:lastModifiedBy>
  <cp:revision>25</cp:revision>
  <dcterms:created xsi:type="dcterms:W3CDTF">2024-01-10T21:00:00Z</dcterms:created>
  <dcterms:modified xsi:type="dcterms:W3CDTF">2025-02-21T08:07:26Z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  <property fmtid="{D5CDD505-2E9C-101B-9397-08002B2CF9AE}" pid="3" name="MediaServiceImageTags">
    <vt:lpwstr/>
  </property>
</Properties>
</file>